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84C" w:rsidRDefault="001D684C" w:rsidP="001D684C">
      <w:pPr>
        <w:pStyle w:val="06FIGRTitre"/>
      </w:pPr>
      <w:r>
        <w:t>. Décompte sur l’année 2023 des faits antisémites comptabilisés par la DNRT</w:t>
      </w:r>
    </w:p>
    <w:p w:rsidR="001D684C" w:rsidRDefault="001D684C" w:rsidP="001D684C">
      <w:pPr>
        <w:pStyle w:val="02TEXTnoindent"/>
        <w:rPr>
          <w:noProof/>
        </w:rPr>
      </w:pPr>
      <w:r>
        <w:rPr>
          <w:noProof/>
        </w:rPr>
        <w:drawing>
          <wp:inline distT="0" distB="0" distL="0" distR="0" wp14:anchorId="579AEAED" wp14:editId="6D337331">
            <wp:extent cx="4599099" cy="318675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977" cy="319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84C" w:rsidRDefault="001D684C" w:rsidP="001D684C">
      <w:pPr>
        <w:pStyle w:val="06FIGRSource"/>
      </w:pPr>
      <w:r>
        <w:t>Source : Données 2023 de la DNRT.</w:t>
      </w:r>
    </w:p>
    <w:p w:rsidR="00DD1B3D" w:rsidRDefault="00DD1B3D"/>
    <w:p w:rsidR="00FB4B92" w:rsidRPr="004E0440" w:rsidRDefault="00FB4B92" w:rsidP="00FB4B92">
      <w:pPr>
        <w:pStyle w:val="06FIGRTitre"/>
      </w:pPr>
      <w:r w:rsidRPr="004E0440">
        <w:t>Décompte sur l’année 2024 des faits antisémites comptabilisés par la DNRT</w:t>
      </w:r>
    </w:p>
    <w:p w:rsidR="00FB4B92" w:rsidRPr="004E0440" w:rsidRDefault="00FB4B92" w:rsidP="00FB4B92">
      <w:pPr>
        <w:suppressAutoHyphens/>
        <w:spacing w:before="60" w:after="60"/>
        <w:jc w:val="both"/>
        <w:rPr>
          <w:rFonts w:ascii="Arial" w:eastAsia="Times New Roman" w:hAnsi="Arial" w:cs="Avenir LT Std 45 Book"/>
          <w:color w:val="385623"/>
          <w:sz w:val="18"/>
          <w:szCs w:val="18"/>
          <w:lang w:eastAsia="fr-FR"/>
        </w:rPr>
      </w:pPr>
      <w:r w:rsidRPr="004E0440">
        <w:rPr>
          <w:noProof/>
          <w:lang w:eastAsia="fr-FR"/>
        </w:rPr>
        <w:drawing>
          <wp:inline distT="0" distB="0" distL="0" distR="0" wp14:anchorId="2926A9A6" wp14:editId="4B470525">
            <wp:extent cx="5619509" cy="2696411"/>
            <wp:effectExtent l="0" t="0" r="635" b="8890"/>
            <wp:docPr id="3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4B92" w:rsidRDefault="00FB4B92" w:rsidP="00FB4B92">
      <w:pPr>
        <w:pStyle w:val="06FIGRSource"/>
      </w:pPr>
      <w:r w:rsidRPr="004E0440">
        <w:t>Source : Données 2024 de la DNRT.</w:t>
      </w:r>
    </w:p>
    <w:p w:rsidR="00FB4B92" w:rsidRDefault="00FB4B92"/>
    <w:sectPr w:rsidR="00FB4B92" w:rsidSect="005D6B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LT Std 45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E"/>
    <w:rsid w:val="001D684C"/>
    <w:rsid w:val="00461434"/>
    <w:rsid w:val="005D6B3B"/>
    <w:rsid w:val="00D679BE"/>
    <w:rsid w:val="00DD1B3D"/>
    <w:rsid w:val="00F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2BF7B"/>
  <w15:chartTrackingRefBased/>
  <w15:docId w15:val="{FA027522-7DF9-074D-A028-ADD796D1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FIGRTitre">
    <w:name w:val="06_FIGR_Titre"/>
    <w:uiPriority w:val="99"/>
    <w:rsid w:val="001D684C"/>
    <w:pPr>
      <w:spacing w:before="240" w:after="120"/>
    </w:pPr>
    <w:rPr>
      <w:rFonts w:ascii="Avenir LT Std 65 Medium" w:eastAsiaTheme="minorEastAsia" w:hAnsi="Avenir LT Std 65 Medium" w:cs="Avenir LT Std 65 Medium"/>
      <w:color w:val="1984FF"/>
      <w:kern w:val="0"/>
      <w:sz w:val="17"/>
      <w:szCs w:val="17"/>
      <w:lang w:eastAsia="fr-FR"/>
      <w14:ligatures w14:val="none"/>
    </w:rPr>
  </w:style>
  <w:style w:type="paragraph" w:customStyle="1" w:styleId="06FIGRSource">
    <w:name w:val="06_FIGR_Source"/>
    <w:basedOn w:val="Normal"/>
    <w:uiPriority w:val="99"/>
    <w:rsid w:val="001D684C"/>
    <w:pPr>
      <w:widowControl w:val="0"/>
      <w:autoSpaceDE w:val="0"/>
      <w:autoSpaceDN w:val="0"/>
      <w:adjustRightInd w:val="0"/>
      <w:spacing w:before="60" w:after="120"/>
      <w:contextualSpacing/>
      <w:jc w:val="both"/>
      <w:textAlignment w:val="center"/>
    </w:pPr>
    <w:rPr>
      <w:rFonts w:ascii="Avenir LT Std 45 Book" w:eastAsiaTheme="minorEastAsia" w:hAnsi="Avenir LT Std 45 Book" w:cs="Avenir LT Std 45 Book"/>
      <w:i/>
      <w:iCs/>
      <w:color w:val="000000"/>
      <w:kern w:val="0"/>
      <w:sz w:val="16"/>
      <w:szCs w:val="16"/>
      <w:lang w:eastAsia="fr-FR"/>
      <w14:ligatures w14:val="none"/>
    </w:rPr>
  </w:style>
  <w:style w:type="paragraph" w:customStyle="1" w:styleId="02TEXTnoindent">
    <w:name w:val="02_TEXT_noindent"/>
    <w:qFormat/>
    <w:rsid w:val="001D684C"/>
    <w:pPr>
      <w:spacing w:before="60" w:after="60"/>
      <w:jc w:val="both"/>
    </w:pPr>
    <w:rPr>
      <w:rFonts w:ascii="Arial" w:eastAsiaTheme="minorEastAsia" w:hAnsi="Arial" w:cs="Avenir LT Std 45 Book"/>
      <w:color w:val="385623" w:themeColor="accent6" w:themeShade="80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Total</c:v>
                </c:pt>
              </c:strCache>
            </c:strRef>
          </c:tx>
          <c:spPr>
            <a:ln w="28440" cap="rnd">
              <a:solidFill>
                <a:srgbClr val="0071B9"/>
              </a:solidFill>
              <a:round/>
            </a:ln>
          </c:spPr>
          <c:marker>
            <c:symbol val="circle"/>
            <c:size val="5"/>
            <c:spPr>
              <a:solidFill>
                <a:srgbClr val="0071B9"/>
              </a:solidFill>
            </c:spPr>
          </c:marker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0-BF2E-8F41-994E-ACA34B134B7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1-BF2E-8F41-994E-ACA34B134B72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2-BF2E-8F41-994E-ACA34B134B72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3-BF2E-8F41-994E-ACA34B134B72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4-BF2E-8F41-994E-ACA34B134B72}"/>
              </c:ext>
            </c:extLst>
          </c:dPt>
          <c:dLbls>
            <c:dLbl>
              <c:idx val="3"/>
              <c:layout>
                <c:manualLayout>
                  <c:x val="-5.7691097829506099E-2"/>
                  <c:y val="-5.8091233132012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0071B9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2E-8F41-994E-ACA34B134B72}"/>
                </c:ext>
              </c:extLst>
            </c:dLbl>
            <c:dLbl>
              <c:idx val="5"/>
              <c:layout>
                <c:manualLayout>
                  <c:x val="-4.8254167977351402E-2"/>
                  <c:y val="-4.4140989002740598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0071B9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2E-8F41-994E-ACA34B134B72}"/>
                </c:ext>
              </c:extLst>
            </c:dLbl>
            <c:dLbl>
              <c:idx val="6"/>
              <c:layout>
                <c:manualLayout>
                  <c:x val="-3.5671594841145002E-2"/>
                  <c:y val="-5.344115175558879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0071B9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2E-8F41-994E-ACA34B134B72}"/>
                </c:ext>
              </c:extLst>
            </c:dLbl>
            <c:dLbl>
              <c:idx val="8"/>
              <c:layout>
                <c:manualLayout>
                  <c:x val="-5.8850527452549102E-2"/>
                  <c:y val="-4.9719622061890102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0071B9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2E-8F41-994E-ACA34B134B72}"/>
                </c:ext>
              </c:extLst>
            </c:dLbl>
            <c:dLbl>
              <c:idx val="11"/>
              <c:layout>
                <c:manualLayout>
                  <c:x val="-1.41835748792271E-2"/>
                  <c:y val="-3.2046067470743997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0071B9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2E-8F41-994E-ACA34B134B7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u="none" strike="noStrike">
                    <a:solidFill>
                      <a:srgbClr val="0071B9"/>
                    </a:solidFill>
                    <a:uFillTx/>
                    <a:latin typeface="Calibri"/>
                  </a:defRPr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28440">
                      <a:solidFill>
                        <a:srgbClr val="000000"/>
                      </a:solidFill>
                    </a:ln>
                  </c:spPr>
                </c15:leaderLines>
              </c:ext>
            </c:extLst>
          </c:dLbls>
          <c:cat>
            <c:strRef>
              <c:f>categories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112</c:v>
                </c:pt>
                <c:pt idx="1">
                  <c:v>133</c:v>
                </c:pt>
                <c:pt idx="2">
                  <c:v>124</c:v>
                </c:pt>
                <c:pt idx="3">
                  <c:v>105</c:v>
                </c:pt>
                <c:pt idx="4">
                  <c:v>188</c:v>
                </c:pt>
                <c:pt idx="5">
                  <c:v>229</c:v>
                </c:pt>
                <c:pt idx="6">
                  <c:v>114</c:v>
                </c:pt>
                <c:pt idx="7">
                  <c:v>97</c:v>
                </c:pt>
                <c:pt idx="8">
                  <c:v>102</c:v>
                </c:pt>
                <c:pt idx="9">
                  <c:v>158</c:v>
                </c:pt>
                <c:pt idx="10">
                  <c:v>115</c:v>
                </c:pt>
                <c:pt idx="11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F2E-8F41-994E-ACA34B134B72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Atteintes aux biens</c:v>
                </c:pt>
              </c:strCache>
            </c:strRef>
          </c:tx>
          <c:spPr>
            <a:ln w="28440" cap="rnd">
              <a:solidFill>
                <a:srgbClr val="EFC74D"/>
              </a:solidFill>
              <a:round/>
            </a:ln>
          </c:spPr>
          <c:marker>
            <c:symbol val="circle"/>
            <c:size val="5"/>
            <c:spPr>
              <a:solidFill>
                <a:srgbClr val="EFC74D"/>
              </a:solidFill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6-BF2E-8F41-994E-ACA34B134B7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BF2E-8F41-994E-ACA34B134B7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8-BF2E-8F41-994E-ACA34B134B7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9-BF2E-8F41-994E-ACA34B134B7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A-BF2E-8F41-994E-ACA34B134B7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B-BF2E-8F41-994E-ACA34B134B72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C-BF2E-8F41-994E-ACA34B134B72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D-BF2E-8F41-994E-ACA34B134B72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E-BF2E-8F41-994E-ACA34B134B72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F-BF2E-8F41-994E-ACA34B134B72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10-BF2E-8F41-994E-ACA34B134B72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1-BF2E-8F41-994E-ACA34B134B72}"/>
              </c:ext>
            </c:extLst>
          </c:dPt>
          <c:dLbls>
            <c:dLbl>
              <c:idx val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2E-8F41-994E-ACA34B134B72}"/>
                </c:ext>
              </c:extLst>
            </c:dLbl>
            <c:dLbl>
              <c:idx val="1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2E-8F41-994E-ACA34B134B72}"/>
                </c:ext>
              </c:extLst>
            </c:dLbl>
            <c:dLbl>
              <c:idx val="2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2E-8F41-994E-ACA34B134B72}"/>
                </c:ext>
              </c:extLst>
            </c:dLbl>
            <c:dLbl>
              <c:idx val="3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2E-8F41-994E-ACA34B134B72}"/>
                </c:ext>
              </c:extLst>
            </c:dLbl>
            <c:dLbl>
              <c:idx val="4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F2E-8F41-994E-ACA34B134B72}"/>
                </c:ext>
              </c:extLst>
            </c:dLbl>
            <c:dLbl>
              <c:idx val="5"/>
              <c:layout>
                <c:manualLayout>
                  <c:x val="-8.6001887385970394E-2"/>
                  <c:y val="-1.1590419367772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2E-8F41-994E-ACA34B134B72}"/>
                </c:ext>
              </c:extLst>
            </c:dLbl>
            <c:dLbl>
              <c:idx val="6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F2E-8F41-994E-ACA34B134B72}"/>
                </c:ext>
              </c:extLst>
            </c:dLbl>
            <c:dLbl>
              <c:idx val="7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2E-8F41-994E-ACA34B134B72}"/>
                </c:ext>
              </c:extLst>
            </c:dLbl>
            <c:dLbl>
              <c:idx val="8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F2E-8F41-994E-ACA34B134B72}"/>
                </c:ext>
              </c:extLst>
            </c:dLbl>
            <c:dLbl>
              <c:idx val="9"/>
              <c:layout>
                <c:manualLayout>
                  <c:x val="-4.1082101289713797E-2"/>
                  <c:y val="-4.4140989002740598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F2E-8F41-994E-ACA34B134B72}"/>
                </c:ext>
              </c:extLst>
            </c:dLbl>
            <c:dLbl>
              <c:idx val="1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F2E-8F41-994E-ACA34B134B72}"/>
                </c:ext>
              </c:extLst>
            </c:dLbl>
            <c:dLbl>
              <c:idx val="11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EFC74D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F2E-8F41-994E-ACA34B134B7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u="none" strike="noStrike">
                    <a:solidFill>
                      <a:srgbClr val="EFC74D"/>
                    </a:solidFill>
                    <a:uFillTx/>
                    <a:latin typeface="Calibri"/>
                  </a:defRPr>
                </a:pPr>
                <a:endParaRPr lang="fr-FR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28440">
                      <a:solidFill>
                        <a:srgbClr val="000000"/>
                      </a:solidFill>
                    </a:ln>
                  </c:spPr>
                </c15:leaderLines>
              </c:ext>
            </c:extLst>
          </c:dLbls>
          <c:cat>
            <c:strRef>
              <c:f>categories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45</c:v>
                </c:pt>
                <c:pt idx="1">
                  <c:v>48</c:v>
                </c:pt>
                <c:pt idx="2">
                  <c:v>31</c:v>
                </c:pt>
                <c:pt idx="3">
                  <c:v>38</c:v>
                </c:pt>
                <c:pt idx="4">
                  <c:v>58</c:v>
                </c:pt>
                <c:pt idx="5">
                  <c:v>106</c:v>
                </c:pt>
                <c:pt idx="6">
                  <c:v>38</c:v>
                </c:pt>
                <c:pt idx="7">
                  <c:v>27</c:v>
                </c:pt>
                <c:pt idx="8">
                  <c:v>38</c:v>
                </c:pt>
                <c:pt idx="9">
                  <c:v>46</c:v>
                </c:pt>
                <c:pt idx="10">
                  <c:v>42</c:v>
                </c:pt>
                <c:pt idx="1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BF2E-8F41-994E-ACA34B134B72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Atteintes aux personnes</c:v>
                </c:pt>
              </c:strCache>
            </c:strRef>
          </c:tx>
          <c:spPr>
            <a:ln w="28440" cap="rnd">
              <a:solidFill>
                <a:srgbClr val="C61818"/>
              </a:solidFill>
              <a:round/>
            </a:ln>
          </c:spPr>
          <c:marker>
            <c:symbol val="circle"/>
            <c:size val="5"/>
            <c:spPr>
              <a:solidFill>
                <a:srgbClr val="C61818"/>
              </a:solidFill>
            </c:spPr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3-BF2E-8F41-994E-ACA34B134B7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4-BF2E-8F41-994E-ACA34B134B7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5-BF2E-8F41-994E-ACA34B134B7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6-BF2E-8F41-994E-ACA34B134B7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7-BF2E-8F41-994E-ACA34B134B7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8-BF2E-8F41-994E-ACA34B134B72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9-BF2E-8F41-994E-ACA34B134B72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1A-BF2E-8F41-994E-ACA34B134B72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B-BF2E-8F41-994E-ACA34B134B72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1C-BF2E-8F41-994E-ACA34B134B72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1D-BF2E-8F41-994E-ACA34B134B72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E-BF2E-8F41-994E-ACA34B134B72}"/>
              </c:ext>
            </c:extLst>
          </c:dPt>
          <c:dLbls>
            <c:dLbl>
              <c:idx val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F2E-8F41-994E-ACA34B134B72}"/>
                </c:ext>
              </c:extLst>
            </c:dLbl>
            <c:dLbl>
              <c:idx val="1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F2E-8F41-994E-ACA34B134B72}"/>
                </c:ext>
              </c:extLst>
            </c:dLbl>
            <c:dLbl>
              <c:idx val="2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F2E-8F41-994E-ACA34B134B72}"/>
                </c:ext>
              </c:extLst>
            </c:dLbl>
            <c:dLbl>
              <c:idx val="3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F2E-8F41-994E-ACA34B134B72}"/>
                </c:ext>
              </c:extLst>
            </c:dLbl>
            <c:dLbl>
              <c:idx val="4"/>
              <c:layout>
                <c:manualLayout>
                  <c:x val="-4.8254167977351402E-2"/>
                  <c:y val="-4.4140989002740598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F2E-8F41-994E-ACA34B134B72}"/>
                </c:ext>
              </c:extLst>
            </c:dLbl>
            <c:dLbl>
              <c:idx val="5"/>
              <c:layout>
                <c:manualLayout>
                  <c:x val="-4.8254167977351402E-2"/>
                  <c:y val="-4.4140989002740702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F2E-8F41-994E-ACA34B134B72}"/>
                </c:ext>
              </c:extLst>
            </c:dLbl>
            <c:dLbl>
              <c:idx val="6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F2E-8F41-994E-ACA34B134B72}"/>
                </c:ext>
              </c:extLst>
            </c:dLbl>
            <c:dLbl>
              <c:idx val="7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F2E-8F41-994E-ACA34B134B72}"/>
                </c:ext>
              </c:extLst>
            </c:dLbl>
            <c:dLbl>
              <c:idx val="8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F2E-8F41-994E-ACA34B134B72}"/>
                </c:ext>
              </c:extLst>
            </c:dLbl>
            <c:dLbl>
              <c:idx val="9"/>
              <c:layout>
                <c:manualLayout>
                  <c:x val="-2.5165146272412699E-2"/>
                  <c:y val="-2.79004882585446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F2E-8F41-994E-ACA34B134B72}"/>
                </c:ext>
              </c:extLst>
            </c:dLbl>
            <c:dLbl>
              <c:idx val="10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F2E-8F41-994E-ACA34B134B72}"/>
                </c:ext>
              </c:extLst>
            </c:dLbl>
            <c:dLbl>
              <c:idx val="11"/>
              <c:spPr/>
              <c:txPr>
                <a:bodyPr wrap="square"/>
                <a:lstStyle/>
                <a:p>
                  <a:pPr>
                    <a:defRPr sz="900" b="0" u="none" strike="noStrike">
                      <a:solidFill>
                        <a:srgbClr val="C61818"/>
                      </a:solidFill>
                      <a:uFillTx/>
                      <a:latin typeface="Calibri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F2E-8F41-994E-ACA34B134B7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900" b="0" u="none" strike="noStrike">
                    <a:solidFill>
                      <a:srgbClr val="C61818"/>
                    </a:solidFill>
                    <a:uFillTx/>
                    <a:latin typeface="Calibri"/>
                  </a:defRPr>
                </a:pPr>
                <a:endParaRPr lang="fr-FR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28440">
                      <a:solidFill>
                        <a:srgbClr val="000000"/>
                      </a:solidFill>
                    </a:ln>
                  </c:spPr>
                </c15:leaderLines>
              </c:ext>
            </c:extLst>
          </c:dLbls>
          <c:cat>
            <c:strRef>
              <c:f>categories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 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2"/>
                <c:pt idx="0">
                  <c:v>67</c:v>
                </c:pt>
                <c:pt idx="1">
                  <c:v>85</c:v>
                </c:pt>
                <c:pt idx="2">
                  <c:v>93</c:v>
                </c:pt>
                <c:pt idx="3">
                  <c:v>67</c:v>
                </c:pt>
                <c:pt idx="4">
                  <c:v>130</c:v>
                </c:pt>
                <c:pt idx="5">
                  <c:v>123</c:v>
                </c:pt>
                <c:pt idx="6">
                  <c:v>76</c:v>
                </c:pt>
                <c:pt idx="7">
                  <c:v>70</c:v>
                </c:pt>
                <c:pt idx="8">
                  <c:v>64</c:v>
                </c:pt>
                <c:pt idx="9">
                  <c:v>112</c:v>
                </c:pt>
                <c:pt idx="10">
                  <c:v>73</c:v>
                </c:pt>
                <c:pt idx="11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BF2E-8F41-994E-ACA34B134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0">
              <a:noFill/>
            </a:ln>
          </c:spPr>
        </c:hiLowLines>
        <c:marker val="1"/>
        <c:smooth val="0"/>
        <c:axId val="84509705"/>
        <c:axId val="38820396"/>
      </c:lineChart>
      <c:catAx>
        <c:axId val="8450970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900" b="0" u="none" strike="noStrike">
                <a:solidFill>
                  <a:srgbClr val="595959"/>
                </a:solidFill>
                <a:uFillTx/>
                <a:latin typeface="Calibri"/>
              </a:defRPr>
            </a:pPr>
            <a:endParaRPr lang="fr-FR"/>
          </a:p>
        </c:txPr>
        <c:crossAx val="38820396"/>
        <c:crosses val="autoZero"/>
        <c:auto val="1"/>
        <c:lblAlgn val="ctr"/>
        <c:lblOffset val="100"/>
        <c:noMultiLvlLbl val="0"/>
      </c:catAx>
      <c:valAx>
        <c:axId val="3882039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900" b="0" u="none" strike="noStrike">
                <a:solidFill>
                  <a:srgbClr val="595959"/>
                </a:solidFill>
                <a:uFillTx/>
                <a:latin typeface="Calibri"/>
              </a:defRPr>
            </a:pPr>
            <a:endParaRPr lang="fr-FR"/>
          </a:p>
        </c:txPr>
        <c:crossAx val="84509705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900" b="0" u="none" strike="noStrike">
              <a:solidFill>
                <a:srgbClr val="595959"/>
              </a:solidFill>
              <a:uFillTx/>
              <a:latin typeface="Calibri"/>
            </a:defRPr>
          </a:pPr>
          <a:endParaRPr lang="fr-FR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jeanpierre.raoult@gmail.com</dc:creator>
  <cp:keywords/>
  <dc:description/>
  <cp:lastModifiedBy>jeanpierre.raoult@gmail.com</cp:lastModifiedBy>
  <cp:revision>2</cp:revision>
  <dcterms:created xsi:type="dcterms:W3CDTF">2025-05-04T20:53:00Z</dcterms:created>
  <dcterms:modified xsi:type="dcterms:W3CDTF">2025-05-04T20:53:00Z</dcterms:modified>
</cp:coreProperties>
</file>